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5B96" w14:textId="260436C6" w:rsidR="00905E1B" w:rsidRDefault="00825A16" w:rsidP="00825A16">
      <w:pPr>
        <w:jc w:val="center"/>
        <w:rPr>
          <w:b/>
          <w:bCs/>
          <w:sz w:val="28"/>
          <w:szCs w:val="28"/>
          <w:u w:val="single"/>
        </w:rPr>
      </w:pPr>
      <w:r w:rsidRPr="00825A16">
        <w:rPr>
          <w:b/>
          <w:bCs/>
          <w:sz w:val="28"/>
          <w:szCs w:val="28"/>
          <w:u w:val="single"/>
        </w:rPr>
        <w:t>LMSW Accommodations: Application Process</w:t>
      </w:r>
    </w:p>
    <w:p w14:paraId="455C17D7" w14:textId="1BD53274" w:rsidR="00825A16" w:rsidRDefault="00825A16" w:rsidP="00825A16">
      <w:pPr>
        <w:jc w:val="center"/>
        <w:rPr>
          <w:b/>
          <w:bCs/>
          <w:sz w:val="28"/>
          <w:szCs w:val="28"/>
          <w:u w:val="single"/>
        </w:rPr>
      </w:pPr>
    </w:p>
    <w:p w14:paraId="0E125CD3" w14:textId="77777777" w:rsidR="002E1973" w:rsidRDefault="002E1973" w:rsidP="002E1973">
      <w:pPr>
        <w:rPr>
          <w:sz w:val="28"/>
          <w:szCs w:val="28"/>
        </w:rPr>
      </w:pPr>
      <w:r>
        <w:rPr>
          <w:sz w:val="28"/>
          <w:szCs w:val="28"/>
        </w:rPr>
        <w:t>The standard AWSB exam administration is:</w:t>
      </w:r>
    </w:p>
    <w:p w14:paraId="717FC53E" w14:textId="77777777" w:rsidR="002E1973" w:rsidRPr="002E1973" w:rsidRDefault="002E1973" w:rsidP="002E1973">
      <w:pPr>
        <w:pStyle w:val="ListParagraph"/>
        <w:numPr>
          <w:ilvl w:val="0"/>
          <w:numId w:val="7"/>
        </w:numPr>
        <w:tabs>
          <w:tab w:val="left" w:pos="720"/>
        </w:tabs>
        <w:spacing w:after="0" w:line="0" w:lineRule="atLeast"/>
        <w:rPr>
          <w:rFonts w:ascii="Arial" w:eastAsia="Arial" w:hAnsi="Arial" w:cs="Arial"/>
          <w:sz w:val="24"/>
          <w:szCs w:val="20"/>
        </w:rPr>
      </w:pPr>
      <w:r w:rsidRPr="002E1973">
        <w:rPr>
          <w:rFonts w:ascii="Calibri" w:eastAsia="Calibri" w:hAnsi="Calibri" w:cs="Arial"/>
          <w:sz w:val="24"/>
          <w:szCs w:val="20"/>
        </w:rPr>
        <w:t>Have four hours to complete 170 multiple-choice questions administered on a computer</w:t>
      </w:r>
    </w:p>
    <w:p w14:paraId="4DBEDD60" w14:textId="77777777" w:rsidR="002E1973" w:rsidRPr="002E1973" w:rsidRDefault="002E1973" w:rsidP="002E1973">
      <w:pPr>
        <w:spacing w:after="0" w:line="11" w:lineRule="exact"/>
        <w:rPr>
          <w:rFonts w:ascii="Arial" w:eastAsia="Arial" w:hAnsi="Arial" w:cs="Arial"/>
          <w:sz w:val="24"/>
          <w:szCs w:val="20"/>
        </w:rPr>
      </w:pPr>
    </w:p>
    <w:p w14:paraId="2E3F7D79" w14:textId="77777777" w:rsidR="002E1973" w:rsidRPr="002E1973" w:rsidRDefault="002E1973" w:rsidP="002E1973">
      <w:pPr>
        <w:pStyle w:val="ListParagraph"/>
        <w:numPr>
          <w:ilvl w:val="0"/>
          <w:numId w:val="7"/>
        </w:numPr>
        <w:tabs>
          <w:tab w:val="left" w:pos="720"/>
        </w:tabs>
        <w:spacing w:after="0" w:line="0" w:lineRule="atLeast"/>
        <w:rPr>
          <w:rFonts w:ascii="Arial" w:eastAsia="Arial" w:hAnsi="Arial" w:cs="Arial"/>
          <w:sz w:val="24"/>
          <w:szCs w:val="20"/>
        </w:rPr>
      </w:pPr>
      <w:r w:rsidRPr="002E1973">
        <w:rPr>
          <w:rFonts w:ascii="Calibri" w:eastAsia="Calibri" w:hAnsi="Calibri" w:cs="Arial"/>
          <w:sz w:val="24"/>
          <w:szCs w:val="20"/>
        </w:rPr>
        <w:t>Select answers directly on the computer using a mouse and keyboard</w:t>
      </w:r>
    </w:p>
    <w:p w14:paraId="54BD5D61" w14:textId="77777777" w:rsidR="002E1973" w:rsidRPr="002E1973" w:rsidRDefault="002E1973" w:rsidP="002E1973">
      <w:pPr>
        <w:spacing w:after="0" w:line="14" w:lineRule="exact"/>
        <w:rPr>
          <w:rFonts w:ascii="Arial" w:eastAsia="Arial" w:hAnsi="Arial" w:cs="Arial"/>
          <w:sz w:val="24"/>
          <w:szCs w:val="20"/>
        </w:rPr>
      </w:pPr>
    </w:p>
    <w:p w14:paraId="7FB42495" w14:textId="77777777" w:rsidR="002E1973" w:rsidRPr="002E1973" w:rsidRDefault="002E1973" w:rsidP="002E1973">
      <w:pPr>
        <w:pStyle w:val="ListParagraph"/>
        <w:numPr>
          <w:ilvl w:val="0"/>
          <w:numId w:val="7"/>
        </w:numPr>
        <w:tabs>
          <w:tab w:val="left" w:pos="720"/>
        </w:tabs>
        <w:spacing w:after="0" w:line="0" w:lineRule="atLeast"/>
        <w:rPr>
          <w:rFonts w:ascii="Arial" w:eastAsia="Arial" w:hAnsi="Arial" w:cs="Arial"/>
          <w:sz w:val="23"/>
          <w:szCs w:val="20"/>
        </w:rPr>
      </w:pPr>
      <w:r w:rsidRPr="002E1973">
        <w:rPr>
          <w:rFonts w:ascii="Calibri" w:eastAsia="Calibri" w:hAnsi="Calibri" w:cs="Arial"/>
          <w:sz w:val="23"/>
          <w:szCs w:val="20"/>
        </w:rPr>
        <w:t>May take short breaks during the four-hour test at their discretion; testing time does not stop for breaks</w:t>
      </w:r>
    </w:p>
    <w:p w14:paraId="5B6007A6" w14:textId="77777777" w:rsidR="002E1973" w:rsidRDefault="002E1973" w:rsidP="00825A16">
      <w:pPr>
        <w:jc w:val="center"/>
        <w:rPr>
          <w:b/>
          <w:bCs/>
          <w:sz w:val="28"/>
          <w:szCs w:val="28"/>
          <w:u w:val="single"/>
        </w:rPr>
      </w:pPr>
    </w:p>
    <w:p w14:paraId="20F195E8" w14:textId="0B9986CE" w:rsidR="002E1973" w:rsidRDefault="00825A16" w:rsidP="00825A16">
      <w:pPr>
        <w:rPr>
          <w:sz w:val="28"/>
          <w:szCs w:val="28"/>
        </w:rPr>
      </w:pPr>
      <w:r>
        <w:rPr>
          <w:sz w:val="28"/>
          <w:szCs w:val="28"/>
        </w:rPr>
        <w:t>1. Get approved to sit for the exam in the state you want licensure by applying online and paying the 100-dollar application fee</w:t>
      </w:r>
      <w:r w:rsidR="002E1973">
        <w:rPr>
          <w:sz w:val="28"/>
          <w:szCs w:val="28"/>
        </w:rPr>
        <w:t>.</w:t>
      </w:r>
    </w:p>
    <w:p w14:paraId="6AAFDCEC" w14:textId="77777777" w:rsidR="002E1973" w:rsidRDefault="002E1973" w:rsidP="00825A16">
      <w:pPr>
        <w:rPr>
          <w:sz w:val="28"/>
          <w:szCs w:val="28"/>
        </w:rPr>
      </w:pPr>
    </w:p>
    <w:p w14:paraId="5B03CE7C" w14:textId="1C86F3AA" w:rsidR="00825A16" w:rsidRPr="00825A16" w:rsidRDefault="00825A16" w:rsidP="00825A16">
      <w:pPr>
        <w:rPr>
          <w:sz w:val="28"/>
          <w:szCs w:val="28"/>
          <w:u w:val="single"/>
        </w:rPr>
      </w:pPr>
      <w:r>
        <w:rPr>
          <w:sz w:val="28"/>
          <w:szCs w:val="28"/>
          <w:u w:val="single"/>
        </w:rPr>
        <w:t>2</w:t>
      </w:r>
      <w:r w:rsidRPr="00825A16">
        <w:rPr>
          <w:sz w:val="28"/>
          <w:szCs w:val="28"/>
          <w:u w:val="single"/>
        </w:rPr>
        <w:t>a</w:t>
      </w:r>
      <w:r w:rsidR="002E1973">
        <w:rPr>
          <w:sz w:val="28"/>
          <w:szCs w:val="28"/>
          <w:u w:val="single"/>
        </w:rPr>
        <w:t>.</w:t>
      </w:r>
      <w:r w:rsidRPr="00825A16">
        <w:rPr>
          <w:sz w:val="28"/>
          <w:szCs w:val="28"/>
          <w:u w:val="single"/>
        </w:rPr>
        <w:t xml:space="preserve"> Lactation arrangements:</w:t>
      </w:r>
    </w:p>
    <w:p w14:paraId="4EB7991C" w14:textId="77777777" w:rsidR="00825A16" w:rsidRPr="00825A16" w:rsidRDefault="00825A16" w:rsidP="00825A16">
      <w:pPr>
        <w:pStyle w:val="ListParagraph"/>
        <w:numPr>
          <w:ilvl w:val="0"/>
          <w:numId w:val="1"/>
        </w:numPr>
        <w:rPr>
          <w:sz w:val="28"/>
          <w:szCs w:val="28"/>
        </w:rPr>
      </w:pPr>
      <w:r w:rsidRPr="00825A16">
        <w:rPr>
          <w:sz w:val="28"/>
          <w:szCs w:val="28"/>
        </w:rPr>
        <w:t>Use of the locker during a break to access a pump</w:t>
      </w:r>
    </w:p>
    <w:p w14:paraId="747995C5" w14:textId="77777777" w:rsidR="00825A16" w:rsidRPr="00825A16" w:rsidRDefault="00825A16" w:rsidP="00825A16">
      <w:pPr>
        <w:pStyle w:val="ListParagraph"/>
        <w:numPr>
          <w:ilvl w:val="0"/>
          <w:numId w:val="1"/>
        </w:numPr>
        <w:rPr>
          <w:sz w:val="28"/>
          <w:szCs w:val="28"/>
        </w:rPr>
      </w:pPr>
      <w:r w:rsidRPr="00825A16">
        <w:rPr>
          <w:sz w:val="28"/>
          <w:szCs w:val="28"/>
        </w:rPr>
        <w:t>Sixty minutes of extra time for pumping or expressing</w:t>
      </w:r>
    </w:p>
    <w:p w14:paraId="77739528" w14:textId="77777777" w:rsidR="00825A16" w:rsidRPr="00825A16" w:rsidRDefault="00825A16" w:rsidP="00825A16">
      <w:pPr>
        <w:pStyle w:val="ListParagraph"/>
        <w:numPr>
          <w:ilvl w:val="0"/>
          <w:numId w:val="1"/>
        </w:numPr>
        <w:rPr>
          <w:sz w:val="28"/>
          <w:szCs w:val="28"/>
        </w:rPr>
      </w:pPr>
      <w:r w:rsidRPr="00825A16">
        <w:rPr>
          <w:sz w:val="28"/>
          <w:szCs w:val="28"/>
        </w:rPr>
        <w:t>Use of a designated space for pumping or expressing</w:t>
      </w:r>
    </w:p>
    <w:p w14:paraId="282E23A2" w14:textId="77777777" w:rsidR="00825A16" w:rsidRPr="00825A16" w:rsidRDefault="00825A16" w:rsidP="00825A16">
      <w:pPr>
        <w:pStyle w:val="ListParagraph"/>
        <w:numPr>
          <w:ilvl w:val="0"/>
          <w:numId w:val="1"/>
        </w:numPr>
        <w:rPr>
          <w:sz w:val="28"/>
          <w:szCs w:val="28"/>
        </w:rPr>
      </w:pPr>
      <w:r w:rsidRPr="00825A16">
        <w:rPr>
          <w:sz w:val="28"/>
          <w:szCs w:val="28"/>
        </w:rPr>
        <w:t>Permission to keep water in a transparent, spill proof, sports-type bottle with a spout at the testing desk</w:t>
      </w:r>
    </w:p>
    <w:p w14:paraId="403DF934" w14:textId="2F0DA5AB" w:rsidR="00825A16" w:rsidRDefault="00825A16" w:rsidP="00825A16">
      <w:pPr>
        <w:pStyle w:val="ListParagraph"/>
        <w:numPr>
          <w:ilvl w:val="0"/>
          <w:numId w:val="1"/>
        </w:numPr>
        <w:rPr>
          <w:sz w:val="28"/>
          <w:szCs w:val="28"/>
        </w:rPr>
      </w:pPr>
      <w:r w:rsidRPr="00825A16">
        <w:rPr>
          <w:sz w:val="28"/>
          <w:szCs w:val="28"/>
        </w:rPr>
        <w:t>Permission to leave the test center only for those approved to breastfeed in person</w:t>
      </w:r>
    </w:p>
    <w:p w14:paraId="39996EB5" w14:textId="3CBDB0F1" w:rsidR="00825A16" w:rsidRPr="00825A16" w:rsidRDefault="00825A16" w:rsidP="00825A16">
      <w:pPr>
        <w:rPr>
          <w:b/>
          <w:bCs/>
          <w:sz w:val="28"/>
          <w:szCs w:val="28"/>
        </w:rPr>
      </w:pPr>
      <w:r w:rsidRPr="00825A16">
        <w:rPr>
          <w:b/>
          <w:bCs/>
          <w:sz w:val="28"/>
          <w:szCs w:val="28"/>
        </w:rPr>
        <w:t xml:space="preserve">Email </w:t>
      </w:r>
      <w:hyperlink r:id="rId5" w:history="1">
        <w:r w:rsidRPr="00825A16">
          <w:rPr>
            <w:rStyle w:val="Hyperlink"/>
            <w:b/>
            <w:bCs/>
            <w:sz w:val="28"/>
            <w:szCs w:val="28"/>
          </w:rPr>
          <w:t>specialarrangements@aswb.org</w:t>
        </w:r>
      </w:hyperlink>
      <w:r w:rsidRPr="00825A16">
        <w:rPr>
          <w:b/>
          <w:bCs/>
          <w:sz w:val="28"/>
          <w:szCs w:val="28"/>
        </w:rPr>
        <w:t xml:space="preserve"> for questions or to request the form and sign it with a digital signature. </w:t>
      </w:r>
    </w:p>
    <w:p w14:paraId="5439E61D" w14:textId="4C3DDB33" w:rsidR="00825A16" w:rsidRPr="00825A16" w:rsidRDefault="00825A16" w:rsidP="00825A16">
      <w:pPr>
        <w:rPr>
          <w:sz w:val="28"/>
          <w:szCs w:val="28"/>
          <w:u w:val="single"/>
        </w:rPr>
      </w:pPr>
    </w:p>
    <w:p w14:paraId="7C0F063F" w14:textId="213528D6" w:rsidR="00825A16" w:rsidRPr="00825A16" w:rsidRDefault="00825A16" w:rsidP="00825A16">
      <w:pPr>
        <w:rPr>
          <w:sz w:val="28"/>
          <w:szCs w:val="28"/>
          <w:u w:val="single"/>
        </w:rPr>
      </w:pPr>
      <w:r w:rsidRPr="00825A16">
        <w:rPr>
          <w:sz w:val="28"/>
          <w:szCs w:val="28"/>
          <w:u w:val="single"/>
        </w:rPr>
        <w:t>2b.Requesting English as a second language arrangement:</w:t>
      </w:r>
    </w:p>
    <w:p w14:paraId="6E1EE952" w14:textId="283020B0" w:rsidR="00825A16" w:rsidRPr="00825A16" w:rsidRDefault="00825A16" w:rsidP="00825A16">
      <w:pPr>
        <w:pStyle w:val="ListParagraph"/>
        <w:numPr>
          <w:ilvl w:val="0"/>
          <w:numId w:val="5"/>
        </w:numPr>
        <w:rPr>
          <w:sz w:val="28"/>
          <w:szCs w:val="28"/>
        </w:rPr>
      </w:pPr>
      <w:r w:rsidRPr="00825A16">
        <w:rPr>
          <w:sz w:val="28"/>
          <w:szCs w:val="28"/>
        </w:rPr>
        <w:t>Qualified candidates who use English as a second language may request additional time (up to two extra hours) and the use of up to two dictionaries (one bilingual word-to-word dictionary and/or one English dictionary).</w:t>
      </w:r>
    </w:p>
    <w:p w14:paraId="503A354F" w14:textId="77777777" w:rsidR="00825A16" w:rsidRDefault="00825A16" w:rsidP="00825A16">
      <w:pPr>
        <w:rPr>
          <w:b/>
          <w:bCs/>
          <w:sz w:val="28"/>
          <w:szCs w:val="28"/>
        </w:rPr>
      </w:pPr>
      <w:r w:rsidRPr="00825A16">
        <w:rPr>
          <w:b/>
          <w:bCs/>
          <w:sz w:val="28"/>
          <w:szCs w:val="28"/>
        </w:rPr>
        <w:t xml:space="preserve">Email </w:t>
      </w:r>
      <w:hyperlink r:id="rId6" w:history="1">
        <w:r w:rsidRPr="00825A16">
          <w:rPr>
            <w:rStyle w:val="Hyperlink"/>
            <w:b/>
            <w:bCs/>
            <w:sz w:val="28"/>
            <w:szCs w:val="28"/>
          </w:rPr>
          <w:t>specialarrangements@aswb.org</w:t>
        </w:r>
      </w:hyperlink>
      <w:r w:rsidRPr="00825A16">
        <w:rPr>
          <w:b/>
          <w:bCs/>
          <w:sz w:val="28"/>
          <w:szCs w:val="28"/>
        </w:rPr>
        <w:t xml:space="preserve"> for questions </w:t>
      </w:r>
      <w:r>
        <w:rPr>
          <w:b/>
          <w:bCs/>
          <w:sz w:val="28"/>
          <w:szCs w:val="28"/>
        </w:rPr>
        <w:t>about ESL arrangements.</w:t>
      </w:r>
    </w:p>
    <w:p w14:paraId="1F9526BB" w14:textId="77777777" w:rsidR="00825A16" w:rsidRDefault="00825A16" w:rsidP="00825A16">
      <w:pPr>
        <w:rPr>
          <w:b/>
          <w:bCs/>
          <w:sz w:val="28"/>
          <w:szCs w:val="28"/>
        </w:rPr>
      </w:pPr>
    </w:p>
    <w:p w14:paraId="559A0136" w14:textId="6BB2FB47" w:rsidR="00825A16" w:rsidRDefault="00825A16" w:rsidP="00825A16">
      <w:pPr>
        <w:rPr>
          <w:sz w:val="28"/>
          <w:szCs w:val="28"/>
          <w:u w:val="single"/>
        </w:rPr>
      </w:pPr>
      <w:r w:rsidRPr="00825A16">
        <w:rPr>
          <w:sz w:val="28"/>
          <w:szCs w:val="28"/>
          <w:u w:val="single"/>
        </w:rPr>
        <w:lastRenderedPageBreak/>
        <w:t>2c.</w:t>
      </w:r>
      <w:r w:rsidRPr="00825A16">
        <w:rPr>
          <w:u w:val="single"/>
        </w:rPr>
        <w:t xml:space="preserve"> </w:t>
      </w:r>
      <w:r w:rsidRPr="00825A16">
        <w:rPr>
          <w:sz w:val="28"/>
          <w:szCs w:val="28"/>
          <w:u w:val="single"/>
        </w:rPr>
        <w:t>Nonstandard testing arrangements for a disability or other health condition</w:t>
      </w:r>
    </w:p>
    <w:p w14:paraId="4C5EB8EB" w14:textId="373D43BF" w:rsidR="00825A16" w:rsidRPr="002E1973" w:rsidRDefault="00825A16" w:rsidP="00825A16">
      <w:pPr>
        <w:pStyle w:val="ListParagraph"/>
        <w:numPr>
          <w:ilvl w:val="0"/>
          <w:numId w:val="4"/>
        </w:numPr>
        <w:rPr>
          <w:b/>
          <w:bCs/>
          <w:sz w:val="28"/>
          <w:szCs w:val="28"/>
        </w:rPr>
      </w:pPr>
      <w:r w:rsidRPr="002E1973">
        <w:rPr>
          <w:b/>
          <w:bCs/>
          <w:sz w:val="28"/>
          <w:szCs w:val="28"/>
        </w:rPr>
        <w:t>Complete the nonstandard testing arrangements:</w:t>
      </w:r>
    </w:p>
    <w:p w14:paraId="09A02B05" w14:textId="569982AE" w:rsidR="00825A16" w:rsidRPr="002E1973" w:rsidRDefault="00825A16" w:rsidP="00825A16">
      <w:pPr>
        <w:pStyle w:val="ListParagraph"/>
        <w:numPr>
          <w:ilvl w:val="1"/>
          <w:numId w:val="4"/>
        </w:numPr>
        <w:rPr>
          <w:i/>
          <w:iCs/>
          <w:sz w:val="28"/>
          <w:szCs w:val="28"/>
        </w:rPr>
      </w:pPr>
      <w:r w:rsidRPr="002E1973">
        <w:rPr>
          <w:i/>
          <w:iCs/>
          <w:sz w:val="28"/>
          <w:szCs w:val="28"/>
        </w:rPr>
        <w:t>Fill out Part I of the Request for Nonstandard Testing Arrangements</w:t>
      </w:r>
    </w:p>
    <w:p w14:paraId="5A3734FC" w14:textId="60D51970" w:rsidR="00825A16" w:rsidRDefault="00825A16" w:rsidP="00825A16">
      <w:pPr>
        <w:pStyle w:val="ListParagraph"/>
        <w:numPr>
          <w:ilvl w:val="1"/>
          <w:numId w:val="4"/>
        </w:numPr>
        <w:rPr>
          <w:sz w:val="28"/>
          <w:szCs w:val="28"/>
        </w:rPr>
      </w:pPr>
      <w:r w:rsidRPr="002E1973">
        <w:rPr>
          <w:i/>
          <w:iCs/>
          <w:sz w:val="28"/>
          <w:szCs w:val="28"/>
        </w:rPr>
        <w:t xml:space="preserve">A practitioner who evaluated you, is aware of your condition/needs, and is qualified </w:t>
      </w:r>
      <w:r w:rsidR="002E1973" w:rsidRPr="002E1973">
        <w:rPr>
          <w:i/>
          <w:iCs/>
          <w:sz w:val="28"/>
          <w:szCs w:val="28"/>
        </w:rPr>
        <w:t>to make a diagnosis must complete Part II of the Request for Nonstandard Testing Arrangements</w:t>
      </w:r>
    </w:p>
    <w:p w14:paraId="5962BCEE" w14:textId="6A3DBD5E" w:rsidR="00825A16" w:rsidRDefault="002E1973" w:rsidP="00825A16">
      <w:pPr>
        <w:pStyle w:val="ListParagraph"/>
        <w:numPr>
          <w:ilvl w:val="2"/>
          <w:numId w:val="4"/>
        </w:numPr>
        <w:rPr>
          <w:sz w:val="28"/>
          <w:szCs w:val="28"/>
        </w:rPr>
      </w:pPr>
      <w:r w:rsidRPr="002E1973">
        <w:rPr>
          <w:sz w:val="28"/>
          <w:szCs w:val="28"/>
        </w:rPr>
        <w:t xml:space="preserve">The practitioner who completes Part II </w:t>
      </w:r>
      <w:r w:rsidRPr="002E1973">
        <w:rPr>
          <w:b/>
          <w:bCs/>
          <w:sz w:val="28"/>
          <w:szCs w:val="28"/>
        </w:rPr>
        <w:t xml:space="preserve">MUST </w:t>
      </w:r>
      <w:r>
        <w:rPr>
          <w:sz w:val="28"/>
          <w:szCs w:val="28"/>
        </w:rPr>
        <w:t>be listed on Part 1 of the form</w:t>
      </w:r>
    </w:p>
    <w:p w14:paraId="0F4AFB63" w14:textId="1D8C416A" w:rsidR="002E1973" w:rsidRPr="002E1973" w:rsidRDefault="002E1973" w:rsidP="002E1973">
      <w:pPr>
        <w:pStyle w:val="ListParagraph"/>
        <w:numPr>
          <w:ilvl w:val="1"/>
          <w:numId w:val="4"/>
        </w:numPr>
        <w:rPr>
          <w:i/>
          <w:iCs/>
          <w:sz w:val="28"/>
          <w:szCs w:val="28"/>
        </w:rPr>
      </w:pPr>
      <w:r w:rsidRPr="002E1973">
        <w:rPr>
          <w:i/>
          <w:iCs/>
          <w:sz w:val="28"/>
          <w:szCs w:val="28"/>
        </w:rPr>
        <w:t>Complete a personal statement describe your diagnosis(es), condition, and/or needs and how daily activities are affected.</w:t>
      </w:r>
    </w:p>
    <w:p w14:paraId="2AF92BDD" w14:textId="5D96BDA0" w:rsidR="002E1973" w:rsidRDefault="002E1973" w:rsidP="002E1973">
      <w:pPr>
        <w:pStyle w:val="ListParagraph"/>
        <w:numPr>
          <w:ilvl w:val="2"/>
          <w:numId w:val="4"/>
        </w:numPr>
        <w:rPr>
          <w:sz w:val="28"/>
          <w:szCs w:val="28"/>
        </w:rPr>
      </w:pPr>
      <w:r w:rsidRPr="002E1973">
        <w:rPr>
          <w:sz w:val="28"/>
          <w:szCs w:val="28"/>
        </w:rPr>
        <w:t>List accommodations you are currently receiving or have received in the past, for example, in your work environment or in testing situations.</w:t>
      </w:r>
    </w:p>
    <w:p w14:paraId="144FBFCD" w14:textId="57AAE82F" w:rsidR="002E1973" w:rsidRDefault="002E1973" w:rsidP="002E1973">
      <w:pPr>
        <w:pStyle w:val="ListParagraph"/>
        <w:numPr>
          <w:ilvl w:val="2"/>
          <w:numId w:val="4"/>
        </w:numPr>
        <w:rPr>
          <w:sz w:val="28"/>
          <w:szCs w:val="28"/>
        </w:rPr>
      </w:pPr>
      <w:r w:rsidRPr="002E1973">
        <w:rPr>
          <w:sz w:val="28"/>
          <w:szCs w:val="28"/>
        </w:rPr>
        <w:t>If you have taken an ASWB examination previously without nonstandard testing arrangements, provide the reason that you are requesting the arrangements now.</w:t>
      </w:r>
    </w:p>
    <w:p w14:paraId="568902A3" w14:textId="77777777" w:rsidR="002E1973" w:rsidRPr="002E1973" w:rsidRDefault="002E1973" w:rsidP="002E1973">
      <w:pPr>
        <w:pStyle w:val="ListParagraph"/>
        <w:numPr>
          <w:ilvl w:val="1"/>
          <w:numId w:val="4"/>
        </w:numPr>
        <w:rPr>
          <w:i/>
          <w:iCs/>
          <w:sz w:val="28"/>
          <w:szCs w:val="28"/>
        </w:rPr>
      </w:pPr>
      <w:r w:rsidRPr="002E1973">
        <w:rPr>
          <w:i/>
          <w:iCs/>
          <w:sz w:val="28"/>
          <w:szCs w:val="28"/>
        </w:rPr>
        <w:t>Learning disability evaluation report: If requesting nonstandard testing arrangements for a diagnosed learning disability, submit the evaluation report from the practitioner who made or confirmed the diagnosis.</w:t>
      </w:r>
    </w:p>
    <w:p w14:paraId="7EEE644A" w14:textId="77777777" w:rsidR="002E1973" w:rsidRDefault="002E1973" w:rsidP="002E1973">
      <w:pPr>
        <w:pStyle w:val="ListParagraph"/>
        <w:numPr>
          <w:ilvl w:val="1"/>
          <w:numId w:val="4"/>
        </w:numPr>
        <w:rPr>
          <w:sz w:val="28"/>
          <w:szCs w:val="28"/>
          <w:u w:val="single"/>
        </w:rPr>
      </w:pPr>
      <w:r w:rsidRPr="002E1973">
        <w:rPr>
          <w:sz w:val="28"/>
          <w:szCs w:val="28"/>
          <w:u w:val="single"/>
        </w:rPr>
        <w:t>Submit Part I and Part II, the personal statement, and if needed the learning disability evaluation report at the same time to avoid delays.</w:t>
      </w:r>
      <w:r>
        <w:rPr>
          <w:sz w:val="28"/>
          <w:szCs w:val="28"/>
          <w:u w:val="single"/>
        </w:rPr>
        <w:t xml:space="preserve"> </w:t>
      </w:r>
    </w:p>
    <w:p w14:paraId="529A2844" w14:textId="34B42B50" w:rsidR="002E1973" w:rsidRPr="002E1973" w:rsidRDefault="002E1973" w:rsidP="002E1973">
      <w:pPr>
        <w:pStyle w:val="ListParagraph"/>
        <w:numPr>
          <w:ilvl w:val="2"/>
          <w:numId w:val="4"/>
        </w:numPr>
        <w:rPr>
          <w:sz w:val="28"/>
          <w:szCs w:val="28"/>
        </w:rPr>
      </w:pPr>
      <w:r w:rsidRPr="002E1973">
        <w:rPr>
          <w:sz w:val="28"/>
          <w:szCs w:val="28"/>
        </w:rPr>
        <w:t xml:space="preserve">Keep a copy of all documentation for your records. </w:t>
      </w:r>
    </w:p>
    <w:p w14:paraId="38A4F9C4" w14:textId="77777777" w:rsidR="002E1973" w:rsidRPr="002E1973" w:rsidRDefault="002E1973" w:rsidP="002E1973">
      <w:pPr>
        <w:pStyle w:val="ListParagraph"/>
        <w:numPr>
          <w:ilvl w:val="1"/>
          <w:numId w:val="4"/>
        </w:numPr>
        <w:rPr>
          <w:sz w:val="28"/>
          <w:szCs w:val="28"/>
          <w:u w:val="single"/>
        </w:rPr>
      </w:pPr>
      <w:r w:rsidRPr="002E1973">
        <w:rPr>
          <w:b/>
          <w:bCs/>
          <w:sz w:val="28"/>
          <w:szCs w:val="28"/>
          <w:u w:val="single"/>
        </w:rPr>
        <w:t>All applications must be submitted with original ink signatures. Copies or faxed signatures will not be accepted</w:t>
      </w:r>
    </w:p>
    <w:p w14:paraId="7D1E500B" w14:textId="380CE56E" w:rsidR="002E1973" w:rsidRPr="00DF5B28" w:rsidRDefault="002E1973" w:rsidP="002E1973">
      <w:pPr>
        <w:pStyle w:val="ListParagraph"/>
        <w:numPr>
          <w:ilvl w:val="2"/>
          <w:numId w:val="4"/>
        </w:numPr>
        <w:rPr>
          <w:sz w:val="28"/>
          <w:szCs w:val="28"/>
          <w:u w:val="single"/>
        </w:rPr>
      </w:pPr>
      <w:r w:rsidRPr="002E1973">
        <w:rPr>
          <w:b/>
          <w:bCs/>
          <w:sz w:val="28"/>
          <w:szCs w:val="28"/>
          <w:u w:val="single"/>
        </w:rPr>
        <w:t>Mail the request to ASWB Candidate Services ǀ Special Arrangements ǀ 17126 Mountain Run Vista Ct. ǀ Culpeper, VA 22701</w:t>
      </w:r>
    </w:p>
    <w:p w14:paraId="61CA7C02" w14:textId="49B3CCDC" w:rsidR="00DF5B28" w:rsidRPr="00DF5B28" w:rsidRDefault="00DF5B28" w:rsidP="00DF5B28">
      <w:pPr>
        <w:pStyle w:val="ListParagraph"/>
        <w:numPr>
          <w:ilvl w:val="3"/>
          <w:numId w:val="4"/>
        </w:numPr>
        <w:rPr>
          <w:sz w:val="28"/>
          <w:szCs w:val="28"/>
        </w:rPr>
      </w:pPr>
      <w:r w:rsidRPr="00DF5B28">
        <w:rPr>
          <w:sz w:val="28"/>
          <w:szCs w:val="28"/>
        </w:rPr>
        <w:t>This will cost 3-5 dollars to mail</w:t>
      </w:r>
    </w:p>
    <w:p w14:paraId="010F81F6" w14:textId="77777777" w:rsidR="002E1973" w:rsidRPr="002E1973" w:rsidRDefault="002E1973" w:rsidP="002E1973">
      <w:pPr>
        <w:pStyle w:val="ListParagraph"/>
        <w:ind w:left="1800"/>
        <w:rPr>
          <w:sz w:val="28"/>
          <w:szCs w:val="28"/>
          <w:u w:val="single"/>
        </w:rPr>
      </w:pPr>
    </w:p>
    <w:p w14:paraId="3F3761E7" w14:textId="77777777" w:rsidR="002E1973" w:rsidRPr="002E1973" w:rsidRDefault="002E1973" w:rsidP="002E1973">
      <w:pPr>
        <w:rPr>
          <w:sz w:val="28"/>
          <w:szCs w:val="28"/>
        </w:rPr>
      </w:pPr>
    </w:p>
    <w:p w14:paraId="1A39821C" w14:textId="5F7F971C" w:rsidR="002E1973" w:rsidRPr="002E1973" w:rsidRDefault="002E1973" w:rsidP="002E1973">
      <w:pPr>
        <w:pStyle w:val="ListParagraph"/>
        <w:numPr>
          <w:ilvl w:val="0"/>
          <w:numId w:val="4"/>
        </w:numPr>
        <w:rPr>
          <w:b/>
          <w:bCs/>
          <w:sz w:val="28"/>
          <w:szCs w:val="28"/>
        </w:rPr>
      </w:pPr>
      <w:r w:rsidRPr="002E1973">
        <w:rPr>
          <w:b/>
          <w:bCs/>
          <w:sz w:val="28"/>
          <w:szCs w:val="28"/>
        </w:rPr>
        <w:lastRenderedPageBreak/>
        <w:t xml:space="preserve">Submit the request to ASWB. The decision of whether or not your request is approved will take two weeks process. The decision will be sent via email with a determination letter attached. </w:t>
      </w:r>
    </w:p>
    <w:p w14:paraId="3CD4F2B3" w14:textId="0596EB85" w:rsidR="002E1973" w:rsidRDefault="002E1973" w:rsidP="002E1973">
      <w:pPr>
        <w:pStyle w:val="ListParagraph"/>
        <w:numPr>
          <w:ilvl w:val="1"/>
          <w:numId w:val="4"/>
        </w:numPr>
        <w:rPr>
          <w:sz w:val="28"/>
          <w:szCs w:val="28"/>
        </w:rPr>
      </w:pPr>
      <w:r>
        <w:rPr>
          <w:sz w:val="28"/>
          <w:szCs w:val="28"/>
        </w:rPr>
        <w:t xml:space="preserve">If a request form is incomplete, you will be notified by email and given 60 days to respond and complete it. </w:t>
      </w:r>
    </w:p>
    <w:p w14:paraId="09D604D8" w14:textId="5E76F78A" w:rsidR="002E1973" w:rsidRPr="002E1973" w:rsidRDefault="002E1973" w:rsidP="002E1973">
      <w:pPr>
        <w:pStyle w:val="ListParagraph"/>
        <w:numPr>
          <w:ilvl w:val="0"/>
          <w:numId w:val="4"/>
        </w:numPr>
        <w:rPr>
          <w:b/>
          <w:bCs/>
          <w:sz w:val="28"/>
          <w:szCs w:val="28"/>
        </w:rPr>
      </w:pPr>
      <w:r w:rsidRPr="002E1973">
        <w:rPr>
          <w:b/>
          <w:bCs/>
          <w:sz w:val="28"/>
          <w:szCs w:val="28"/>
        </w:rPr>
        <w:t>Register with AWSB to take the exam</w:t>
      </w:r>
    </w:p>
    <w:p w14:paraId="1503648B" w14:textId="345B3989" w:rsidR="002E1973" w:rsidRDefault="002E1973" w:rsidP="002E1973">
      <w:pPr>
        <w:pStyle w:val="ListParagraph"/>
        <w:numPr>
          <w:ilvl w:val="1"/>
          <w:numId w:val="4"/>
        </w:numPr>
        <w:rPr>
          <w:sz w:val="28"/>
          <w:szCs w:val="28"/>
        </w:rPr>
      </w:pPr>
      <w:r>
        <w:rPr>
          <w:sz w:val="28"/>
          <w:szCs w:val="28"/>
        </w:rPr>
        <w:t xml:space="preserve">If you request is approved, you will register online. Once your registration is complete, you will receive an </w:t>
      </w:r>
      <w:r w:rsidRPr="002E1973">
        <w:rPr>
          <w:sz w:val="28"/>
          <w:szCs w:val="28"/>
        </w:rPr>
        <w:t>Authorization to Test email that specifies the nonstandard testing arrangements you are approved for.</w:t>
      </w:r>
    </w:p>
    <w:p w14:paraId="2ABB0048" w14:textId="576806B8" w:rsidR="00DF5B28" w:rsidRDefault="00DF5B28" w:rsidP="00DF5B28">
      <w:pPr>
        <w:pStyle w:val="ListParagraph"/>
        <w:numPr>
          <w:ilvl w:val="0"/>
          <w:numId w:val="4"/>
        </w:numPr>
        <w:rPr>
          <w:b/>
          <w:bCs/>
          <w:sz w:val="28"/>
          <w:szCs w:val="28"/>
        </w:rPr>
      </w:pPr>
      <w:r w:rsidRPr="00DF5B28">
        <w:rPr>
          <w:b/>
          <w:bCs/>
          <w:sz w:val="28"/>
          <w:szCs w:val="28"/>
        </w:rPr>
        <w:t>Schedule your exam with Pearson VUE</w:t>
      </w:r>
    </w:p>
    <w:p w14:paraId="4CD69882" w14:textId="13F4D4CC" w:rsidR="00DF5B28" w:rsidRPr="00DF5B28" w:rsidRDefault="00DF5B28" w:rsidP="00DF5B28">
      <w:pPr>
        <w:pStyle w:val="ListParagraph"/>
        <w:numPr>
          <w:ilvl w:val="1"/>
          <w:numId w:val="4"/>
        </w:numPr>
        <w:rPr>
          <w:sz w:val="28"/>
          <w:szCs w:val="28"/>
        </w:rPr>
      </w:pPr>
      <w:r w:rsidRPr="00DF5B28">
        <w:rPr>
          <w:sz w:val="28"/>
          <w:szCs w:val="28"/>
        </w:rPr>
        <w:t>Depending on the nature of your nonstandard testing arrangements, you may not be able to schedule your exam online but will be able to schedule by phone. Refer to your Authorization to Test email for scheduling and cancellation instructions.</w:t>
      </w:r>
    </w:p>
    <w:p w14:paraId="0FBDBB40" w14:textId="77777777" w:rsidR="00DF5B28" w:rsidRPr="00DF5B28" w:rsidRDefault="00DF5B28" w:rsidP="00DF5B28">
      <w:pPr>
        <w:rPr>
          <w:sz w:val="28"/>
          <w:szCs w:val="28"/>
        </w:rPr>
      </w:pPr>
    </w:p>
    <w:p w14:paraId="22C7FC90" w14:textId="527DD757" w:rsidR="002E1973" w:rsidRPr="002E1973" w:rsidRDefault="002E1973" w:rsidP="002E1973">
      <w:pPr>
        <w:pStyle w:val="ListParagraph"/>
        <w:ind w:left="1800"/>
        <w:rPr>
          <w:sz w:val="28"/>
          <w:szCs w:val="28"/>
        </w:rPr>
      </w:pPr>
    </w:p>
    <w:sectPr w:rsidR="002E1973" w:rsidRPr="002E1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C73F93"/>
    <w:multiLevelType w:val="hybridMultilevel"/>
    <w:tmpl w:val="37C62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B3B23"/>
    <w:multiLevelType w:val="hybridMultilevel"/>
    <w:tmpl w:val="DB98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B4757"/>
    <w:multiLevelType w:val="hybridMultilevel"/>
    <w:tmpl w:val="2586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13EF3"/>
    <w:multiLevelType w:val="hybridMultilevel"/>
    <w:tmpl w:val="5742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C3487"/>
    <w:multiLevelType w:val="hybridMultilevel"/>
    <w:tmpl w:val="F12A9740"/>
    <w:lvl w:ilvl="0" w:tplc="386AC38A">
      <w:start w:val="1"/>
      <w:numFmt w:val="decimal"/>
      <w:lvlText w:val="%1."/>
      <w:lvlJc w:val="left"/>
      <w:pPr>
        <w:ind w:left="1080" w:hanging="360"/>
      </w:pPr>
      <w:rPr>
        <w:rFonts w:hint="default"/>
      </w:rPr>
    </w:lvl>
    <w:lvl w:ilvl="1" w:tplc="1C58D456">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715344"/>
    <w:multiLevelType w:val="hybridMultilevel"/>
    <w:tmpl w:val="32D4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16"/>
    <w:rsid w:val="002E1973"/>
    <w:rsid w:val="0081173D"/>
    <w:rsid w:val="00825A16"/>
    <w:rsid w:val="00905E1B"/>
    <w:rsid w:val="00DF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5B06"/>
  <w15:chartTrackingRefBased/>
  <w15:docId w15:val="{6FA75428-D52A-421C-8F4A-2E1AF151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A16"/>
    <w:pPr>
      <w:ind w:left="720"/>
      <w:contextualSpacing/>
    </w:pPr>
  </w:style>
  <w:style w:type="character" w:styleId="Hyperlink">
    <w:name w:val="Hyperlink"/>
    <w:basedOn w:val="DefaultParagraphFont"/>
    <w:uiPriority w:val="99"/>
    <w:unhideWhenUsed/>
    <w:rsid w:val="00825A16"/>
    <w:rPr>
      <w:color w:val="0563C1" w:themeColor="hyperlink"/>
      <w:u w:val="single"/>
    </w:rPr>
  </w:style>
  <w:style w:type="character" w:styleId="UnresolvedMention">
    <w:name w:val="Unresolved Mention"/>
    <w:basedOn w:val="DefaultParagraphFont"/>
    <w:uiPriority w:val="99"/>
    <w:semiHidden/>
    <w:unhideWhenUsed/>
    <w:rsid w:val="00825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cialarrangements@aswb.org" TargetMode="External"/><Relationship Id="rId5" Type="http://schemas.openxmlformats.org/officeDocument/2006/relationships/hyperlink" Target="mailto:specialarrangements@asw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Kobrin</dc:creator>
  <cp:keywords/>
  <dc:description/>
  <cp:lastModifiedBy>Dana Kobrin</cp:lastModifiedBy>
  <cp:revision>2</cp:revision>
  <dcterms:created xsi:type="dcterms:W3CDTF">2022-03-14T21:29:00Z</dcterms:created>
  <dcterms:modified xsi:type="dcterms:W3CDTF">2022-03-14T21:29:00Z</dcterms:modified>
</cp:coreProperties>
</file>